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91" w:rsidRDefault="00B23C91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</w:p>
    <w:p w:rsidR="00B23C91" w:rsidRDefault="00B23C91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B23C91" w:rsidRDefault="00B23C91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</w:p>
    <w:p w:rsidR="00B23C91" w:rsidRDefault="004B7D50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АЛГОРИТМ </w:t>
      </w:r>
    </w:p>
    <w:p w:rsidR="00B23C91" w:rsidRDefault="004B7D50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действий инвестора по процедурам подключения энергопринимающих устройств к электрическим сетям </w:t>
      </w:r>
      <w:r>
        <w:rPr>
          <w:sz w:val="24"/>
          <w:szCs w:val="24"/>
        </w:rPr>
        <w:br/>
        <w:t>(малый и средний бизнес - до 150 кВт включительно*)</w:t>
      </w:r>
    </w:p>
    <w:p w:rsidR="00B23C91" w:rsidRDefault="00B23C91">
      <w:pPr>
        <w:pStyle w:val="20"/>
        <w:shd w:val="clear" w:color="auto" w:fill="auto"/>
        <w:spacing w:after="0"/>
        <w:jc w:val="center"/>
      </w:pPr>
    </w:p>
    <w:tbl>
      <w:tblPr>
        <w:tblStyle w:val="af"/>
        <w:tblW w:w="5000" w:type="pct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1836"/>
        <w:gridCol w:w="1052"/>
        <w:gridCol w:w="1053"/>
        <w:gridCol w:w="807"/>
        <w:gridCol w:w="3195"/>
        <w:gridCol w:w="1972"/>
        <w:gridCol w:w="1833"/>
        <w:gridCol w:w="3456"/>
      </w:tblGrid>
      <w:tr w:rsidR="00B23C91">
        <w:trPr>
          <w:trHeight w:val="20"/>
          <w:tblHeader/>
        </w:trPr>
        <w:tc>
          <w:tcPr>
            <w:tcW w:w="491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37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(Процедура)</w:t>
            </w:r>
          </w:p>
        </w:tc>
        <w:tc>
          <w:tcPr>
            <w:tcW w:w="1052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053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целевой</w:t>
            </w:r>
          </w:p>
        </w:tc>
        <w:tc>
          <w:tcPr>
            <w:tcW w:w="807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3197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1973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Результирующие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1834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3458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23C91">
        <w:trPr>
          <w:trHeight w:val="20"/>
        </w:trPr>
        <w:tc>
          <w:tcPr>
            <w:tcW w:w="491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на технологическое присоединение и заключение договора об осуществлении технологического присоединения </w:t>
            </w:r>
          </w:p>
        </w:tc>
        <w:tc>
          <w:tcPr>
            <w:tcW w:w="1052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</w:t>
            </w:r>
          </w:p>
        </w:tc>
        <w:tc>
          <w:tcPr>
            <w:tcW w:w="1053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</w:t>
            </w:r>
          </w:p>
        </w:tc>
        <w:tc>
          <w:tcPr>
            <w:tcW w:w="80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Заявка на технологическое присоединение.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План расположения энергопринимающих устройств.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Перечень и мощность устройств для присоединения к противоаварийной и режимной автоматике.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Один из нижеследующих документов: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земельным участком, на котором расположены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будут располагаться) энергопринимающие устройства заявителя;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убличного сервитута в целях размещения энергопринимающих устройств заявителя (с указанием сведений о границах используемой территории);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копии документов, подтверждающих, что заявитель обладает сервитутом или публичным сервитутом, которые установлены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границах сервитута);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 подачи заявки на основании пункта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 ТП - копии решения о предварительном согласовании предоставления земельного участка, утвержденного проекта межевания территории и (или) выданного в соответствии с частью 1.1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заявки юридическим лицом, созданным Российской Федерацией, субъектом Российской Федерации или муниципальным образованием, иным юридическим лицом - также копии документов, подтверждающих наличие оснований для подачи заявки в случаях,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в абзацах третьем и четвертом пункта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ТП).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Выписка из Единого государственного реестра юридических лиц, Единого государственного реестра индивидуальных предпринимателей.</w:t>
            </w:r>
          </w:p>
        </w:tc>
        <w:tc>
          <w:tcPr>
            <w:tcW w:w="1973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1.Технические условия.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2.Условия типового договора.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3.Счет на оплату.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4.Инструкция по присоединению.</w:t>
            </w: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отсутствии сведений и документов, указанных в пунктах 9, 10 Правил ТП, сетевая организация не позднее 3 рабочих дней со дня получения заявки направляет заявителю уведомление, содержащее указание на сведения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димость их представления в течение 20 рабочих дней со дня получения указанного уведомлени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я. При этом сетевая организация приостанавливает рассмотрение заявки до получения недостающих сведений и документов</w:t>
            </w:r>
          </w:p>
        </w:tc>
        <w:tc>
          <w:tcPr>
            <w:tcW w:w="1834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Пункты 9, 10,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15, 105 Правил технологического присоединения, утвержденных постановлением Правительства Российской Федерации от 27 декаб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 2004 года № 861 (далее – Правила ТП)</w:t>
            </w:r>
          </w:p>
        </w:tc>
        <w:tc>
          <w:tcPr>
            <w:tcW w:w="3458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апросе объектов электросетевого хозяйства.</w:t>
            </w: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ующими поставщиками.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систем.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Интеграция информационных систем сетевых организаций с инфраструктурой Единой системы идентификации и аутентификации.</w:t>
            </w:r>
          </w:p>
        </w:tc>
      </w:tr>
      <w:tr w:rsidR="00B23C91">
        <w:trPr>
          <w:trHeight w:val="20"/>
        </w:trPr>
        <w:tc>
          <w:tcPr>
            <w:tcW w:w="491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3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строительных работ и окончательное подключение</w:t>
            </w:r>
          </w:p>
        </w:tc>
        <w:tc>
          <w:tcPr>
            <w:tcW w:w="1052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нормативные сроки - от 30 рабочих дней до 1 года</w:t>
            </w:r>
          </w:p>
        </w:tc>
        <w:tc>
          <w:tcPr>
            <w:tcW w:w="1053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нормативные сроки - от 30 рабочих дней до 55 рабочих дней </w:t>
            </w:r>
          </w:p>
        </w:tc>
        <w:tc>
          <w:tcPr>
            <w:tcW w:w="80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инвестора не требуется предоставление документов.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присоединения на уровне напряжения свыше 0,4кВ- уведомление о выполнении технических условий с комплектом документов.</w:t>
            </w: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Договор, обеспечивающий продажу электрической энергии на розничном рынке, считается заключенным между гарантирующим поставщиком (энергосбытовой организацией) и заявителем со дня составления и размещения в личном кабинете заявителя на сайте сетевой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сетям), подписанного со стороны сетевой организации, но не ранее совершения заявителем действий, свидетельст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о начале фактического потребления электрической энергии, вне зависимости от подписания договора заявителем.</w:t>
            </w:r>
          </w:p>
        </w:tc>
        <w:tc>
          <w:tcPr>
            <w:tcW w:w="1973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присоединения на уровне напряжения 0,4кВ и ниже: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1.Уведомление об обеспечении сетевой организацией возможности присоединения к элект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рическим сетям.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2.Акт допуска прибора учета в эксплуатацию.</w:t>
            </w: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присоединения на уровне напряжения свыше 0,4кВ: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Акт об осуществлении технологического присоединения.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Акт о выполнении технических условий.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Акт допуска прибора учета в 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</w:tc>
        <w:tc>
          <w:tcPr>
            <w:tcW w:w="1834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«в», «г» «д», «е» пункта 7, подпункт «б» пункта 16, пункты 18,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</w:t>
            </w:r>
          </w:p>
        </w:tc>
        <w:tc>
          <w:tcPr>
            <w:tcW w:w="3458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На сайте сетевых организаций обеспечено наличие информации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24 «Об утверждении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андартов раскрытия информации субъектами оптового и розничных рынков электрической энергии»).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объема сетевого строительства.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целевых сроков возможен после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ледующих мероприятий: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Сокращение сроков оформления прав на земельные участки.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Сетевым организациям обеспечен доступ к следующим информационным системам: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Федеральной государственной информационной системе «Единый государственный реестр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Федеральной службы государственной регистрации, кадастра и картографии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Информационной системе, содержащей 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заключенных договорах аренды земельных участков (краткосрочных и долгосрочных), сведения об имущественно - правовом статусе земельных участков;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Информационной системе, содержащей сведения отдела геолого-геодезической службы и отдела подземных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Сокращение сроков получения актуальных материалов топосъемки.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Уменьшение срока проведения торгово-закупочных процедур.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Исключение обязанности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Введение уведомительного порядка оформления ордера (разрешения) на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изводство земляных работ, установку временных ограждений и размещение временных объектов.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</w:tc>
      </w:tr>
    </w:tbl>
    <w:p w:rsidR="00B23C91" w:rsidRDefault="00B2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91" w:rsidRDefault="00B2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91" w:rsidRDefault="004B7D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 в представленном алгори</w:t>
      </w:r>
      <w:r>
        <w:rPr>
          <w:rFonts w:ascii="Times New Roman" w:hAnsi="Times New Roman" w:cs="Times New Roman"/>
          <w:sz w:val="24"/>
          <w:szCs w:val="24"/>
        </w:rPr>
        <w:t>тме указаны процедуры без учета особенностей для групп заявителей, осуществляющих технологическое присоединение на временной основе и смежных сетевых организации</w:t>
      </w:r>
    </w:p>
    <w:sectPr w:rsidR="00B23C91">
      <w:headerReference w:type="default" r:id="rId7"/>
      <w:pgSz w:w="16838" w:h="11906" w:orient="landscape"/>
      <w:pgMar w:top="766" w:right="567" w:bottom="567" w:left="567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7D50">
      <w:pPr>
        <w:spacing w:after="0" w:line="240" w:lineRule="auto"/>
      </w:pPr>
      <w:r>
        <w:separator/>
      </w:r>
    </w:p>
  </w:endnote>
  <w:endnote w:type="continuationSeparator" w:id="0">
    <w:p w:rsidR="00000000" w:rsidRDefault="004B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7D50">
      <w:pPr>
        <w:spacing w:after="0" w:line="240" w:lineRule="auto"/>
      </w:pPr>
      <w:r>
        <w:separator/>
      </w:r>
    </w:p>
  </w:footnote>
  <w:footnote w:type="continuationSeparator" w:id="0">
    <w:p w:rsidR="00000000" w:rsidRDefault="004B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184460"/>
      <w:docPartObj>
        <w:docPartGallery w:val="Page Numbers (Top of Page)"/>
        <w:docPartUnique/>
      </w:docPartObj>
    </w:sdtPr>
    <w:sdtEndPr/>
    <w:sdtContent>
      <w:p w:rsidR="00B23C91" w:rsidRDefault="004B7D50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B23C91" w:rsidRDefault="004B7D5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91"/>
    <w:rsid w:val="004B7D50"/>
    <w:rsid w:val="00B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3D5F"/>
  <w15:docId w15:val="{5BB173BA-9429-449E-A0EC-3A564C7A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729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FA1D6D"/>
  </w:style>
  <w:style w:type="character" w:customStyle="1" w:styleId="a4">
    <w:name w:val="Нижний колонтитул Знак"/>
    <w:basedOn w:val="a0"/>
    <w:uiPriority w:val="99"/>
    <w:qFormat/>
    <w:rsid w:val="00FA1D6D"/>
  </w:style>
  <w:style w:type="character" w:customStyle="1" w:styleId="a5">
    <w:name w:val="Текст выноски Знак"/>
    <w:basedOn w:val="a0"/>
    <w:uiPriority w:val="99"/>
    <w:semiHidden/>
    <w:qFormat/>
    <w:rsid w:val="001A2CF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7294F"/>
    <w:pPr>
      <w:widowControl w:val="0"/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uiPriority w:val="99"/>
    <w:unhideWhenUsed/>
    <w:rsid w:val="00FA1D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A1D6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1A2C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1CB6"/>
    <w:pPr>
      <w:ind w:left="720"/>
      <w:contextualSpacing/>
    </w:pPr>
  </w:style>
  <w:style w:type="table" w:styleId="af">
    <w:name w:val="Table Grid"/>
    <w:basedOn w:val="a1"/>
    <w:uiPriority w:val="39"/>
    <w:rsid w:val="00E7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327E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3651-B79F-41FE-81D8-0CF54A3D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Елена Владимировна</dc:creator>
  <dc:description/>
  <cp:lastModifiedBy>pnu</cp:lastModifiedBy>
  <cp:revision>2</cp:revision>
  <cp:lastPrinted>2022-07-27T15:06:00Z</cp:lastPrinted>
  <dcterms:created xsi:type="dcterms:W3CDTF">2022-10-11T14:49:00Z</dcterms:created>
  <dcterms:modified xsi:type="dcterms:W3CDTF">2022-10-11T14:49:00Z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